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34" w:rsidRPr="00B05A34" w:rsidRDefault="00B05A34" w:rsidP="00B05A34">
      <w:pPr>
        <w:spacing w:before="150" w:after="150" w:line="240" w:lineRule="auto"/>
        <w:jc w:val="both"/>
        <w:outlineLvl w:val="0"/>
        <w:rPr>
          <w:rFonts w:ascii="Tahoma" w:eastAsia="Times New Roman" w:hAnsi="Tahoma" w:cs="Tahoma"/>
          <w:color w:val="204B87"/>
          <w:kern w:val="36"/>
          <w:sz w:val="24"/>
          <w:szCs w:val="24"/>
          <w:lang w:eastAsia="ru-RU"/>
        </w:rPr>
      </w:pPr>
      <w:r w:rsidRPr="00B05A34">
        <w:rPr>
          <w:rFonts w:ascii="Tahoma" w:eastAsia="Times New Roman" w:hAnsi="Tahoma" w:cs="Tahoma"/>
          <w:color w:val="204B87"/>
          <w:kern w:val="36"/>
          <w:sz w:val="24"/>
          <w:szCs w:val="24"/>
          <w:lang w:eastAsia="ru-RU"/>
        </w:rPr>
        <w:t>МКР 6А Северного жилого района по бул. Комарова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Проектная декларация</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 xml:space="preserve">Строительство 23-этажного 220-квартирного каркасно-монолитного жилого дома со встроенными административными помещениями (количество этажей – 23, общая площадь жилого здания – 13120,00 кв.м, количество квартир – 220, общая площадь квартир – 8395, 67 кв.м, площадь встроенных помещений – 478,00 кв.м, строительный объем – 44372,00 куб.м) и пристроенным спортивным корпусом (количество этажей – 3, общая площадь – 669,90 кв.м, строительный объем – 4111,00 куб.м). Площадь земельного участка - 1,3704 га, по адресу: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 xml:space="preserve">Ростовская область, г. Ростов-на-Дону, Ворошиловский район,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МКР 6А Северного жилого района по бул. Комарова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Многоквартирный жилой дом № 5</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«08» декабря  2014 г.                                                                                              г. Ростов-на-Дону</w:t>
      </w:r>
    </w:p>
    <w:tbl>
      <w:tblPr>
        <w:tblW w:w="9630" w:type="dxa"/>
        <w:tblCellMar>
          <w:left w:w="0" w:type="dxa"/>
          <w:right w:w="0" w:type="dxa"/>
        </w:tblCellMar>
        <w:tblLook w:val="04A0"/>
      </w:tblPr>
      <w:tblGrid>
        <w:gridCol w:w="849"/>
        <w:gridCol w:w="3294"/>
        <w:gridCol w:w="225"/>
        <w:gridCol w:w="5037"/>
        <w:gridCol w:w="225"/>
      </w:tblGrid>
      <w:tr w:rsidR="00B05A34" w:rsidRPr="00B05A34" w:rsidTr="00B05A34">
        <w:tc>
          <w:tcPr>
            <w:tcW w:w="9615" w:type="dxa"/>
            <w:gridSpan w:val="4"/>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i/>
                <w:iCs/>
                <w:sz w:val="24"/>
                <w:szCs w:val="24"/>
                <w:lang w:eastAsia="ru-RU"/>
              </w:rPr>
              <w:t>I. Информация о застройщике</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1.1.</w:t>
            </w:r>
          </w:p>
        </w:tc>
        <w:tc>
          <w:tcPr>
            <w:tcW w:w="3360"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Фирменное наименование,</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Место нахождения, режим работы</w:t>
            </w:r>
          </w:p>
        </w:tc>
        <w:tc>
          <w:tcPr>
            <w:tcW w:w="538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Муниципальное казенное предприятие г.Ростова-на-Дону «Объединенная дирекция строящихся объектов г.Ростова-на-Дону»</w:t>
            </w:r>
            <w:r w:rsidRPr="00B05A34">
              <w:rPr>
                <w:rFonts w:ascii="Tahoma" w:eastAsia="Times New Roman" w:hAnsi="Tahoma" w:cs="Tahoma"/>
                <w:sz w:val="24"/>
                <w:szCs w:val="24"/>
                <w:lang w:eastAsia="ru-RU"/>
              </w:rPr>
              <w:t xml:space="preserve">  </w:t>
            </w:r>
            <w:r w:rsidRPr="00B05A34">
              <w:rPr>
                <w:rFonts w:ascii="Tahoma" w:eastAsia="Times New Roman" w:hAnsi="Tahoma" w:cs="Tahoma"/>
                <w:b/>
                <w:bCs/>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Местонахождение: юридический адрес – 344022, г. Ростов-на-Дону,  ул.Б.Садовая, № 184</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фактический адрес – 344022, г. Ростов-на-Дону, ул. Б. Садовая, № 184.</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Режим работы: понедельник-четверг с 9.00 до 18.00, пятница с 9.00 до 17.00, выходной – суббота, воскресенье.</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1.2.</w:t>
            </w:r>
          </w:p>
        </w:tc>
        <w:tc>
          <w:tcPr>
            <w:tcW w:w="3360"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Документы о государственной регистрации</w:t>
            </w:r>
          </w:p>
        </w:tc>
        <w:tc>
          <w:tcPr>
            <w:tcW w:w="538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Регистрация при создании: зарегистрировано 12.03.1997 года Администрацией города Ростова-на-Дону, № 251 РП, свидетельство от 25.12.2002 г. серия 61 № 000595801.</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Регистрация после преобразования: зарегистрировано 16.03.2006 года ИФНС России по Кировскому району г. Ростова-на-Дону, свидетельство серия 61 №006003368, в едином государственном реестре юридических лиц ОГРН 1066163012156.</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1.3.</w:t>
            </w:r>
          </w:p>
        </w:tc>
        <w:tc>
          <w:tcPr>
            <w:tcW w:w="3360"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Сведения об учредителях (участниках) застройщика, которые обладают пятью и более процентами голосов в органе управления</w:t>
            </w:r>
          </w:p>
        </w:tc>
        <w:tc>
          <w:tcPr>
            <w:tcW w:w="538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Департамент </w:t>
            </w:r>
            <w:proofErr w:type="spellStart"/>
            <w:r w:rsidRPr="00B05A34">
              <w:rPr>
                <w:rFonts w:ascii="Tahoma" w:eastAsia="Times New Roman" w:hAnsi="Tahoma" w:cs="Tahoma"/>
                <w:sz w:val="24"/>
                <w:szCs w:val="24"/>
                <w:lang w:eastAsia="ru-RU"/>
              </w:rPr>
              <w:t>имущественно-земельных</w:t>
            </w:r>
            <w:proofErr w:type="spellEnd"/>
            <w:r w:rsidRPr="00B05A34">
              <w:rPr>
                <w:rFonts w:ascii="Tahoma" w:eastAsia="Times New Roman" w:hAnsi="Tahoma" w:cs="Tahoma"/>
                <w:sz w:val="24"/>
                <w:szCs w:val="24"/>
                <w:lang w:eastAsia="ru-RU"/>
              </w:rPr>
              <w:t xml:space="preserve"> отношений города Ростова-на-Дону - 100% голосов</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(согласно п.1.6 Устава МКП «Объединенная дирекция строящихся объектов г. Ростова-на-Дону»)</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1.4.</w:t>
            </w:r>
          </w:p>
        </w:tc>
        <w:tc>
          <w:tcPr>
            <w:tcW w:w="3360"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О проектах строительства многоквартирных домов и (или) иных объектов недвижимости, в которых принимал участие застройщика в течение трех предшествующих лет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538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1.Многоквартирный 23-этажный, каркасно-монолитный жилой дом, расположенный по адресу; г.Ростов-на-Дону, Ворошиловский район, 6А </w:t>
            </w:r>
            <w:proofErr w:type="spellStart"/>
            <w:r w:rsidRPr="00B05A34">
              <w:rPr>
                <w:rFonts w:ascii="Tahoma" w:eastAsia="Times New Roman" w:hAnsi="Tahoma" w:cs="Tahoma"/>
                <w:sz w:val="24"/>
                <w:szCs w:val="24"/>
                <w:lang w:eastAsia="ru-RU"/>
              </w:rPr>
              <w:t>мкр</w:t>
            </w:r>
            <w:proofErr w:type="spellEnd"/>
            <w:r w:rsidRPr="00B05A34">
              <w:rPr>
                <w:rFonts w:ascii="Tahoma" w:eastAsia="Times New Roman" w:hAnsi="Tahoma" w:cs="Tahoma"/>
                <w:sz w:val="24"/>
                <w:szCs w:val="24"/>
                <w:lang w:eastAsia="ru-RU"/>
              </w:rPr>
              <w:t xml:space="preserve"> СЖР по </w:t>
            </w:r>
            <w:proofErr w:type="spellStart"/>
            <w:r w:rsidRPr="00B05A34">
              <w:rPr>
                <w:rFonts w:ascii="Tahoma" w:eastAsia="Times New Roman" w:hAnsi="Tahoma" w:cs="Tahoma"/>
                <w:sz w:val="24"/>
                <w:szCs w:val="24"/>
                <w:lang w:eastAsia="ru-RU"/>
              </w:rPr>
              <w:t>буль.Комарова</w:t>
            </w:r>
            <w:proofErr w:type="spellEnd"/>
            <w:r w:rsidRPr="00B05A34">
              <w:rPr>
                <w:rFonts w:ascii="Tahoma" w:eastAsia="Times New Roman" w:hAnsi="Tahoma" w:cs="Tahoma"/>
                <w:sz w:val="24"/>
                <w:szCs w:val="24"/>
                <w:lang w:eastAsia="ru-RU"/>
              </w:rPr>
              <w:t>, многоквартирный жилой дом № 4. Срок ввода в эксплуатацию в соответствии с проектной документацией – 31.03.2016 г.</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 Многоквартирный 10-этажный жилой дом, расположенный по адресу: Ростовская область, г. Ростов-на-Дону, Первомайский район, 2 МКР «</w:t>
            </w:r>
            <w:proofErr w:type="spellStart"/>
            <w:r w:rsidRPr="00B05A34">
              <w:rPr>
                <w:rFonts w:ascii="Tahoma" w:eastAsia="Times New Roman" w:hAnsi="Tahoma" w:cs="Tahoma"/>
                <w:sz w:val="24"/>
                <w:szCs w:val="24"/>
                <w:lang w:eastAsia="ru-RU"/>
              </w:rPr>
              <w:t>Темерник</w:t>
            </w:r>
            <w:proofErr w:type="spellEnd"/>
            <w:r w:rsidRPr="00B05A34">
              <w:rPr>
                <w:rFonts w:ascii="Tahoma" w:eastAsia="Times New Roman" w:hAnsi="Tahoma" w:cs="Tahoma"/>
                <w:sz w:val="24"/>
                <w:szCs w:val="24"/>
                <w:lang w:eastAsia="ru-RU"/>
              </w:rPr>
              <w:t xml:space="preserve">» по ул. </w:t>
            </w:r>
            <w:proofErr w:type="spellStart"/>
            <w:r w:rsidRPr="00B05A34">
              <w:rPr>
                <w:rFonts w:ascii="Tahoma" w:eastAsia="Times New Roman" w:hAnsi="Tahoma" w:cs="Tahoma"/>
                <w:sz w:val="24"/>
                <w:szCs w:val="24"/>
                <w:lang w:eastAsia="ru-RU"/>
              </w:rPr>
              <w:t>Лелюшенко</w:t>
            </w:r>
            <w:proofErr w:type="spellEnd"/>
            <w:r w:rsidRPr="00B05A34">
              <w:rPr>
                <w:rFonts w:ascii="Tahoma" w:eastAsia="Times New Roman" w:hAnsi="Tahoma" w:cs="Tahoma"/>
                <w:sz w:val="24"/>
                <w:szCs w:val="24"/>
                <w:lang w:eastAsia="ru-RU"/>
              </w:rPr>
              <w:t xml:space="preserve"> (стр.п. 2-5, 2-5А, 2-5В)</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эксплуатацию в соответствии с проектной документацией – 22.02.2015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3. Многоквартирный 10-этажный жилой дом, расположенный по адресу: Ростовская область, г. Ростов-на-Дону, Первомайский район, ул. Лелюшенко, 15а (строительное пятно 2-5Б).</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соответствии с проектной документацией – 22.01.2014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Фактический срок получения разрешения на ввод в эксплуатацию -  31.01.2014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4. Детский сад на 140 мест, расположенный по адресу: Ростовская область, г.Ростов-на-Дону, Советский район, пр.Маршала Жукова, 34а (1 МКР жилого района «</w:t>
            </w:r>
            <w:proofErr w:type="spellStart"/>
            <w:r w:rsidRPr="00B05A34">
              <w:rPr>
                <w:rFonts w:ascii="Tahoma" w:eastAsia="Times New Roman" w:hAnsi="Tahoma" w:cs="Tahoma"/>
                <w:sz w:val="24"/>
                <w:szCs w:val="24"/>
                <w:lang w:eastAsia="ru-RU"/>
              </w:rPr>
              <w:t>Левенцовский</w:t>
            </w:r>
            <w:proofErr w:type="spellEnd"/>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соответствии с проектной документацией – 31.08.2013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Фактический срок получения разрешения на ввод в эксплуатацию -  31.12.2013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5. Детский сад на 110 мест, расположенный по адресу: Ростовская область, г.Ростов-на-Дону, Первомайский район, ул.Миронова, 14в (2 </w:t>
            </w:r>
            <w:proofErr w:type="spellStart"/>
            <w:r w:rsidRPr="00B05A34">
              <w:rPr>
                <w:rFonts w:ascii="Tahoma" w:eastAsia="Times New Roman" w:hAnsi="Tahoma" w:cs="Tahoma"/>
                <w:sz w:val="24"/>
                <w:szCs w:val="24"/>
                <w:lang w:eastAsia="ru-RU"/>
              </w:rPr>
              <w:t>мкр</w:t>
            </w:r>
            <w:proofErr w:type="spellEnd"/>
            <w:r w:rsidRPr="00B05A34">
              <w:rPr>
                <w:rFonts w:ascii="Tahoma" w:eastAsia="Times New Roman" w:hAnsi="Tahoma" w:cs="Tahoma"/>
                <w:sz w:val="24"/>
                <w:szCs w:val="24"/>
                <w:lang w:eastAsia="ru-RU"/>
              </w:rPr>
              <w:t xml:space="preserve"> </w:t>
            </w:r>
            <w:proofErr w:type="spellStart"/>
            <w:r w:rsidRPr="00B05A34">
              <w:rPr>
                <w:rFonts w:ascii="Tahoma" w:eastAsia="Times New Roman" w:hAnsi="Tahoma" w:cs="Tahoma"/>
                <w:sz w:val="24"/>
                <w:szCs w:val="24"/>
                <w:lang w:eastAsia="ru-RU"/>
              </w:rPr>
              <w:t>Темерник</w:t>
            </w:r>
            <w:proofErr w:type="spellEnd"/>
            <w:r w:rsidRPr="00B05A34">
              <w:rPr>
                <w:rFonts w:ascii="Tahoma" w:eastAsia="Times New Roman" w:hAnsi="Tahoma" w:cs="Tahoma"/>
                <w:sz w:val="24"/>
                <w:szCs w:val="24"/>
                <w:lang w:eastAsia="ru-RU"/>
              </w:rPr>
              <w:t>, пятно 2-33Б).</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соответствии с проектной документацией – 27.02.2014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Фактический срок получения разрешения на ввод в эксплуатацию -  </w:t>
            </w:r>
            <w:r w:rsidRPr="00B05A34">
              <w:rPr>
                <w:rFonts w:ascii="Tahoma" w:eastAsia="Times New Roman" w:hAnsi="Tahoma" w:cs="Tahoma"/>
                <w:sz w:val="24"/>
                <w:szCs w:val="24"/>
                <w:lang w:eastAsia="ru-RU"/>
              </w:rPr>
              <w:lastRenderedPageBreak/>
              <w:t>31.12.2013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6. Детское образовательное учреждение (ДОУ) № 116 с возведением пристройки; котельная – 2-й этап, расположенное по адресу: Ростовская область, г.Ростов-на-Дону, Ленинский район, ул.Возрождения,8.</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соответствии с проектной документацией – 06.12.2013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эксплуатацию – 30.10.2013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7. Тяговая подстанция № 25, расположенная по адресу: Ростовская область, г.Ростов-на-Дону, Пролетарский район, ул.Нижегородская, 22а.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соответствии с проектной документацией – 02.09.2012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эксплуатацию – 17.10.2012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8. Детские ясли-сад на 270 мест, расположенные по адресу: Ростовская область, г.Ростов-на-Дону, Первомайский район, пер.Днепровский, 124/7.</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соответствии с проектной документацией – 09.04.2012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эксплуатацию – 07.03.2012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9. Жилой дом, расположенный по адресу: Ростовская область, г.Ростов-на-Дону, Первомайский район, </w:t>
            </w:r>
            <w:proofErr w:type="spellStart"/>
            <w:r w:rsidRPr="00B05A34">
              <w:rPr>
                <w:rFonts w:ascii="Tahoma" w:eastAsia="Times New Roman" w:hAnsi="Tahoma" w:cs="Tahoma"/>
                <w:sz w:val="24"/>
                <w:szCs w:val="24"/>
                <w:lang w:eastAsia="ru-RU"/>
              </w:rPr>
              <w:t>ул.Лелюшенко</w:t>
            </w:r>
            <w:proofErr w:type="spellEnd"/>
            <w:r w:rsidRPr="00B05A34">
              <w:rPr>
                <w:rFonts w:ascii="Tahoma" w:eastAsia="Times New Roman" w:hAnsi="Tahoma" w:cs="Tahoma"/>
                <w:sz w:val="24"/>
                <w:szCs w:val="24"/>
                <w:lang w:eastAsia="ru-RU"/>
              </w:rPr>
              <w:t>, 15г (с.п. 2-5Б/2).</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соответствии с проектной документацией – 01.02.2011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Срок ввода в эксплуатацию – 31.03.2011 года.</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1.5.</w:t>
            </w:r>
          </w:p>
        </w:tc>
        <w:tc>
          <w:tcPr>
            <w:tcW w:w="3360"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Вид лицензируемой деятельности, номер лицензии, срок действия лицензии, орган, выдавший лицензию</w:t>
            </w:r>
          </w:p>
        </w:tc>
        <w:tc>
          <w:tcPr>
            <w:tcW w:w="538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Деятельность застройщика лицензированию не подлежит.</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1.6.</w:t>
            </w:r>
          </w:p>
        </w:tc>
        <w:tc>
          <w:tcPr>
            <w:tcW w:w="3360"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Сведения о финансовом результате текущего года, размер кредиторской и дебиторской задолженности на день  опубликования </w:t>
            </w:r>
            <w:r w:rsidRPr="00B05A34">
              <w:rPr>
                <w:rFonts w:ascii="Tahoma" w:eastAsia="Times New Roman" w:hAnsi="Tahoma" w:cs="Tahoma"/>
                <w:sz w:val="24"/>
                <w:szCs w:val="24"/>
                <w:lang w:eastAsia="ru-RU"/>
              </w:rPr>
              <w:lastRenderedPageBreak/>
              <w:t>проектной декларации</w:t>
            </w:r>
          </w:p>
        </w:tc>
        <w:tc>
          <w:tcPr>
            <w:tcW w:w="538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1. Финансовый результат составил – 460 007 рублей.</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2. Размер кредиторской задолженности МКП «Объединенная дирекция строящихся объектов г.Ростова-на-Дону» - 35 027 375 </w:t>
            </w:r>
            <w:r w:rsidRPr="00B05A34">
              <w:rPr>
                <w:rFonts w:ascii="Tahoma" w:eastAsia="Times New Roman" w:hAnsi="Tahoma" w:cs="Tahoma"/>
                <w:sz w:val="24"/>
                <w:szCs w:val="24"/>
                <w:lang w:eastAsia="ru-RU"/>
              </w:rPr>
              <w:lastRenderedPageBreak/>
              <w:t>рублей.</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3. Размер дебиторской задолженности МКП «Объединенная дирекция строящихся объектов г.Ростова-на-Дону» -  251 709 313 рублей.</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 </w:t>
            </w:r>
          </w:p>
        </w:tc>
      </w:tr>
      <w:tr w:rsidR="00B05A34" w:rsidRPr="00B05A34" w:rsidTr="00B05A34">
        <w:tc>
          <w:tcPr>
            <w:tcW w:w="9615" w:type="dxa"/>
            <w:gridSpan w:val="4"/>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i/>
                <w:iCs/>
                <w:sz w:val="24"/>
                <w:szCs w:val="24"/>
                <w:lang w:eastAsia="ru-RU"/>
              </w:rPr>
              <w:t>II. Информация о проекте строительства</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2.1.</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Цель проекта строительства</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Обеспечение дополнительного жилья в городе Ростове-на-Дону путем создания 23-этажного 220-квартирного жилого дома общей площадью квартир 8395,67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находящегося северной части города Ростова-на-Дону, в Ворошиловском районе, в границах планируемого к застройке микрорайона 6А в составе Северного жилого района.</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2.2.</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Этапы и сроки его реализации</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Начало строительства – III квартал 2014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Окончание строительства – IV квартал 2016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Ввод объекта в эксплуатацию – I квартал 2017 года.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Строительство ведется в один этап.</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2.3.</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Результаты негосударственной экспертизы проектной документации</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Положительное заключение негосударственной экспертизы № в реестре 2-1-1-0060-14 от 15.08.2014 г., выполненное ООО «АРТИФЕКС» (свидетельство об аккредитации № РОСС RU .0001.610181 от 28.10.2013 г.)</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2.4.</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Разрешение на строительство</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RU61310000-8427-1 от  18 сентября 2014 г., выдано Департаментом архитектуры и градостроительства города Ростова-на-Дону, срок действия разрешения – до  18  октября 2016 г.</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2.5.</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Права застройщика на земельный участок, реквизиты правоустанавливающего документа на земельный участок, собственник земельного участка</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Договор аренды земельного участка № 35359 от 14.05.2014 года, зарегистрированный 29.05.2014 г. в Управлении Федеральной службы государственной регистрации, кадастра и картографии по РО за № 61-61-01/353/2014-260.</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Собственник – муниципальное образование город Ростов-на-Дону.</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Данный земельный участок обременен залогом в пользу участников долевого строительства многоквартирного жилого дома № 4, расположенного по адресу; </w:t>
            </w:r>
            <w:r w:rsidRPr="00B05A34">
              <w:rPr>
                <w:rFonts w:ascii="Tahoma" w:eastAsia="Times New Roman" w:hAnsi="Tahoma" w:cs="Tahoma"/>
                <w:sz w:val="24"/>
                <w:szCs w:val="24"/>
                <w:lang w:eastAsia="ru-RU"/>
              </w:rPr>
              <w:lastRenderedPageBreak/>
              <w:t xml:space="preserve">г.Ростов-на-Дону, Ворошиловский район, 6А </w:t>
            </w:r>
            <w:proofErr w:type="spellStart"/>
            <w:r w:rsidRPr="00B05A34">
              <w:rPr>
                <w:rFonts w:ascii="Tahoma" w:eastAsia="Times New Roman" w:hAnsi="Tahoma" w:cs="Tahoma"/>
                <w:sz w:val="24"/>
                <w:szCs w:val="24"/>
                <w:lang w:eastAsia="ru-RU"/>
              </w:rPr>
              <w:t>мкр</w:t>
            </w:r>
            <w:proofErr w:type="spellEnd"/>
            <w:r w:rsidRPr="00B05A34">
              <w:rPr>
                <w:rFonts w:ascii="Tahoma" w:eastAsia="Times New Roman" w:hAnsi="Tahoma" w:cs="Tahoma"/>
                <w:sz w:val="24"/>
                <w:szCs w:val="24"/>
                <w:lang w:eastAsia="ru-RU"/>
              </w:rPr>
              <w:t xml:space="preserve"> СЖР по </w:t>
            </w:r>
            <w:proofErr w:type="spellStart"/>
            <w:r w:rsidRPr="00B05A34">
              <w:rPr>
                <w:rFonts w:ascii="Tahoma" w:eastAsia="Times New Roman" w:hAnsi="Tahoma" w:cs="Tahoma"/>
                <w:sz w:val="24"/>
                <w:szCs w:val="24"/>
                <w:lang w:eastAsia="ru-RU"/>
              </w:rPr>
              <w:t>буль.Комарова</w:t>
            </w:r>
            <w:proofErr w:type="spellEnd"/>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2.6.</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Кадастровый номер и площадь земельного участка, предоставленного для строительства (создания) многоквартирного дома</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Земельный участок площадью 13704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Кадастровый номер № 61:44:0010418:51.</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Границы земельного участка предусмотрены согласно кадастрового плана земельного участка</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2.7.</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Элементы благоустройства</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В составе благоустройства выполняется озеленение территории, строительство тротуаров и площадок различного назначения: для игр детей, площадки для отдыха взрослого населения, площадки для хозяйственных целей (сушки белья, для мусорных контейнеров).</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Площадка для занятий физкультурой и площадка для выгула собак размещаются в зоне общего пользования микрорайона.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Транспортное обслуживание многоквартирного жилого дома со встроенными административными помещениями и пристроенным спортивным корпусом осуществляется по проезду, предусмотренному вокруг здания, который так же является пожарным проездом, шириной 6,0 м..</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2.8.</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Местоположение строящегося многоквартирного дома, описание в соответствии с проектной документацией</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Место размещения: Ростовская область, г.Ростов-на-Дону, Ворошиловский район,  микрорайон 6А в составе Северного жилого района, по бульвару Комарова, многоквартирный жилой дом 5.</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Земельный участок под строительство многоквартирного жилого ограничен: с запада и севера – территорией, отведенной МКП «Объединенная дирекция строящихся объектов г.Ростова-на-Дону», свободной от застройки; с востока участок граничит с бульваром Комарова; с юга – территорией балки </w:t>
            </w:r>
            <w:proofErr w:type="spellStart"/>
            <w:r w:rsidRPr="00B05A34">
              <w:rPr>
                <w:rFonts w:ascii="Tahoma" w:eastAsia="Times New Roman" w:hAnsi="Tahoma" w:cs="Tahoma"/>
                <w:sz w:val="24"/>
                <w:szCs w:val="24"/>
                <w:lang w:eastAsia="ru-RU"/>
              </w:rPr>
              <w:t>р.Темерник</w:t>
            </w:r>
            <w:proofErr w:type="spellEnd"/>
            <w:r w:rsidRPr="00B05A34">
              <w:rPr>
                <w:rFonts w:ascii="Tahoma" w:eastAsia="Times New Roman" w:hAnsi="Tahoma" w:cs="Tahoma"/>
                <w:sz w:val="24"/>
                <w:szCs w:val="24"/>
                <w:lang w:eastAsia="ru-RU"/>
              </w:rPr>
              <w:t>, территорией АГК «Водник».</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Здание жилого дома является одним из трех повторяющихся зданий, составляющих центральную композицию 6А МКР СЖР.</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Цветовое решение фасадов жилого дома выполнено в соответствии с общим колористическим решением застройки 6А МКР СЖР, что обеспечивает единое </w:t>
            </w:r>
            <w:r w:rsidRPr="00B05A34">
              <w:rPr>
                <w:rFonts w:ascii="Tahoma" w:eastAsia="Times New Roman" w:hAnsi="Tahoma" w:cs="Tahoma"/>
                <w:sz w:val="24"/>
                <w:szCs w:val="24"/>
                <w:lang w:eastAsia="ru-RU"/>
              </w:rPr>
              <w:lastRenderedPageBreak/>
              <w:t>архитектурно-художественное восприятие жилого комплекса.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i/>
                <w:iCs/>
                <w:sz w:val="24"/>
                <w:szCs w:val="24"/>
                <w:lang w:eastAsia="ru-RU"/>
              </w:rPr>
              <w:t>Основные технико-экономические показатели:</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строительный объем жилого здания – 44372,00 м</w:t>
            </w:r>
            <w:r w:rsidRPr="00B05A34">
              <w:rPr>
                <w:rFonts w:ascii="Tahoma" w:eastAsia="Times New Roman" w:hAnsi="Tahoma" w:cs="Tahoma"/>
                <w:sz w:val="24"/>
                <w:szCs w:val="24"/>
                <w:vertAlign w:val="superscript"/>
                <w:lang w:eastAsia="ru-RU"/>
              </w:rPr>
              <w:t>3</w:t>
            </w:r>
            <w:r w:rsidRPr="00B05A34">
              <w:rPr>
                <w:rFonts w:ascii="Tahoma" w:eastAsia="Times New Roman" w:hAnsi="Tahoma" w:cs="Tahoma"/>
                <w:sz w:val="24"/>
                <w:szCs w:val="24"/>
                <w:lang w:eastAsia="ru-RU"/>
              </w:rPr>
              <w:t>, в т.ч.  надземная часть – 42678,00 м</w:t>
            </w:r>
            <w:r w:rsidRPr="00B05A34">
              <w:rPr>
                <w:rFonts w:ascii="Tahoma" w:eastAsia="Times New Roman" w:hAnsi="Tahoma" w:cs="Tahoma"/>
                <w:sz w:val="24"/>
                <w:szCs w:val="24"/>
                <w:vertAlign w:val="superscript"/>
                <w:lang w:eastAsia="ru-RU"/>
              </w:rPr>
              <w:t>3</w:t>
            </w:r>
            <w:r w:rsidRPr="00B05A34">
              <w:rPr>
                <w:rFonts w:ascii="Tahoma" w:eastAsia="Times New Roman" w:hAnsi="Tahoma" w:cs="Tahoma"/>
                <w:sz w:val="24"/>
                <w:szCs w:val="24"/>
                <w:lang w:eastAsia="ru-RU"/>
              </w:rPr>
              <w:t>, подземная часть – 1694,00 м</w:t>
            </w:r>
            <w:r w:rsidRPr="00B05A34">
              <w:rPr>
                <w:rFonts w:ascii="Tahoma" w:eastAsia="Times New Roman" w:hAnsi="Tahoma" w:cs="Tahoma"/>
                <w:sz w:val="24"/>
                <w:szCs w:val="24"/>
                <w:vertAlign w:val="superscript"/>
                <w:lang w:eastAsia="ru-RU"/>
              </w:rPr>
              <w:t>3</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этажность жилого здания – 22,</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количество этажей жилого здания – 23 (2 тех.этажа + 1 административный + 20 жилых этажей),</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жилищная обеспеченность – 35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/чел.,</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площадь жилого здания – 13120,00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общая площадь квартир – 8395,67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в т.ч. площадь квартир без учета холодных помещений – 7861,87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общая площадь встроенного административного помещения – 478,00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строительный объем спортивного корпуса – 4111,90 м</w:t>
            </w:r>
            <w:r w:rsidRPr="00B05A34">
              <w:rPr>
                <w:rFonts w:ascii="Tahoma" w:eastAsia="Times New Roman" w:hAnsi="Tahoma" w:cs="Tahoma"/>
                <w:sz w:val="24"/>
                <w:szCs w:val="24"/>
                <w:vertAlign w:val="superscript"/>
                <w:lang w:eastAsia="ru-RU"/>
              </w:rPr>
              <w:t>3</w:t>
            </w:r>
            <w:r w:rsidRPr="00B05A34">
              <w:rPr>
                <w:rFonts w:ascii="Tahoma" w:eastAsia="Times New Roman" w:hAnsi="Tahoma" w:cs="Tahoma"/>
                <w:sz w:val="24"/>
                <w:szCs w:val="24"/>
                <w:lang w:eastAsia="ru-RU"/>
              </w:rPr>
              <w:t>, в том числе надземная часть – 3441,55 м</w:t>
            </w:r>
            <w:r w:rsidRPr="00B05A34">
              <w:rPr>
                <w:rFonts w:ascii="Tahoma" w:eastAsia="Times New Roman" w:hAnsi="Tahoma" w:cs="Tahoma"/>
                <w:sz w:val="24"/>
                <w:szCs w:val="24"/>
                <w:vertAlign w:val="superscript"/>
                <w:lang w:eastAsia="ru-RU"/>
              </w:rPr>
              <w:t>3</w:t>
            </w:r>
            <w:r w:rsidRPr="00B05A34">
              <w:rPr>
                <w:rFonts w:ascii="Tahoma" w:eastAsia="Times New Roman" w:hAnsi="Tahoma" w:cs="Tahoma"/>
                <w:sz w:val="24"/>
                <w:szCs w:val="24"/>
                <w:lang w:eastAsia="ru-RU"/>
              </w:rPr>
              <w:t>, подземная часть – 670,35 м</w:t>
            </w:r>
            <w:r w:rsidRPr="00B05A34">
              <w:rPr>
                <w:rFonts w:ascii="Tahoma" w:eastAsia="Times New Roman" w:hAnsi="Tahoma" w:cs="Tahoma"/>
                <w:sz w:val="24"/>
                <w:szCs w:val="24"/>
                <w:vertAlign w:val="superscript"/>
                <w:lang w:eastAsia="ru-RU"/>
              </w:rPr>
              <w:t>3</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этажность строительного корпуса – 2,</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количество этажей строительного корпуса – 3 (1 тех.этаж + 2 этажа),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общая площадь строительного корпуса – 669,25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xml:space="preserve"> (без учета технического этажа).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Жилое 23-этажное здание с подвалом и верхним техническим этажом, имеет сложную форму в плане, разработано по индивидуальному проекту.</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Конструктивная схема здания – монолитный железобетонный каркас, наружный слой – кладка из лицевого кирпича. Размеры здания в плане 35,20х19,20 м с подвалом, имеющем </w:t>
            </w:r>
            <w:proofErr w:type="spellStart"/>
            <w:r w:rsidRPr="00B05A34">
              <w:rPr>
                <w:rFonts w:ascii="Tahoma" w:eastAsia="Times New Roman" w:hAnsi="Tahoma" w:cs="Tahoma"/>
                <w:sz w:val="24"/>
                <w:szCs w:val="24"/>
                <w:lang w:eastAsia="ru-RU"/>
              </w:rPr>
              <w:t>отм.пола</w:t>
            </w:r>
            <w:proofErr w:type="spellEnd"/>
            <w:r w:rsidRPr="00B05A34">
              <w:rPr>
                <w:rFonts w:ascii="Tahoma" w:eastAsia="Times New Roman" w:hAnsi="Tahoma" w:cs="Tahoma"/>
                <w:sz w:val="24"/>
                <w:szCs w:val="24"/>
                <w:lang w:eastAsia="ru-RU"/>
              </w:rPr>
              <w:t xml:space="preserve"> -2,700.</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Высота первого этажа – 3,3 м (встроенные помещения административного назначения), со 2-го по 21 этаж – 3,0 м (жилые этажи), тех.этаж на </w:t>
            </w:r>
            <w:proofErr w:type="spellStart"/>
            <w:r w:rsidRPr="00B05A34">
              <w:rPr>
                <w:rFonts w:ascii="Tahoma" w:eastAsia="Times New Roman" w:hAnsi="Tahoma" w:cs="Tahoma"/>
                <w:sz w:val="24"/>
                <w:szCs w:val="24"/>
                <w:lang w:eastAsia="ru-RU"/>
              </w:rPr>
              <w:t>отм</w:t>
            </w:r>
            <w:proofErr w:type="spellEnd"/>
            <w:r w:rsidRPr="00B05A34">
              <w:rPr>
                <w:rFonts w:ascii="Tahoma" w:eastAsia="Times New Roman" w:hAnsi="Tahoma" w:cs="Tahoma"/>
                <w:sz w:val="24"/>
                <w:szCs w:val="24"/>
                <w:lang w:eastAsia="ru-RU"/>
              </w:rPr>
              <w:t xml:space="preserve">. +63,30 – 2,4 м в свету, тех.этаж на </w:t>
            </w:r>
            <w:proofErr w:type="spellStart"/>
            <w:r w:rsidRPr="00B05A34">
              <w:rPr>
                <w:rFonts w:ascii="Tahoma" w:eastAsia="Times New Roman" w:hAnsi="Tahoma" w:cs="Tahoma"/>
                <w:sz w:val="24"/>
                <w:szCs w:val="24"/>
                <w:lang w:eastAsia="ru-RU"/>
              </w:rPr>
              <w:t>отм</w:t>
            </w:r>
            <w:proofErr w:type="spellEnd"/>
            <w:r w:rsidRPr="00B05A34">
              <w:rPr>
                <w:rFonts w:ascii="Tahoma" w:eastAsia="Times New Roman" w:hAnsi="Tahoma" w:cs="Tahoma"/>
                <w:sz w:val="24"/>
                <w:szCs w:val="24"/>
                <w:lang w:eastAsia="ru-RU"/>
              </w:rPr>
              <w:t>. -2,70 – 2,4 м  в свету.</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На первом этаже жилого дома предусмотрено размещение административных помещений. Все помещения размещены таким образом, что над кабинетами и рабочими помещениями не </w:t>
            </w:r>
            <w:r w:rsidRPr="00B05A34">
              <w:rPr>
                <w:rFonts w:ascii="Tahoma" w:eastAsia="Times New Roman" w:hAnsi="Tahoma" w:cs="Tahoma"/>
                <w:sz w:val="24"/>
                <w:szCs w:val="24"/>
                <w:lang w:eastAsia="ru-RU"/>
              </w:rPr>
              <w:lastRenderedPageBreak/>
              <w:t>располагаются санузлы вышележащих жилых квартир.</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Спортивный корпус примыкает к северному торцу здания многоквартирного дома. На крыше корпуса (</w:t>
            </w:r>
            <w:proofErr w:type="spellStart"/>
            <w:r w:rsidRPr="00B05A34">
              <w:rPr>
                <w:rFonts w:ascii="Tahoma" w:eastAsia="Times New Roman" w:hAnsi="Tahoma" w:cs="Tahoma"/>
                <w:sz w:val="24"/>
                <w:szCs w:val="24"/>
                <w:lang w:eastAsia="ru-RU"/>
              </w:rPr>
              <w:t>отм</w:t>
            </w:r>
            <w:proofErr w:type="spellEnd"/>
            <w:r w:rsidRPr="00B05A34">
              <w:rPr>
                <w:rFonts w:ascii="Tahoma" w:eastAsia="Times New Roman" w:hAnsi="Tahoma" w:cs="Tahoma"/>
                <w:sz w:val="24"/>
                <w:szCs w:val="24"/>
                <w:lang w:eastAsia="ru-RU"/>
              </w:rPr>
              <w:t>. +7.400) располагается блочно-модульная котельная (БМК) «</w:t>
            </w:r>
            <w:proofErr w:type="spellStart"/>
            <w:r w:rsidRPr="00B05A34">
              <w:rPr>
                <w:rFonts w:ascii="Tahoma" w:eastAsia="Times New Roman" w:hAnsi="Tahoma" w:cs="Tahoma"/>
                <w:sz w:val="24"/>
                <w:szCs w:val="24"/>
                <w:lang w:eastAsia="ru-RU"/>
              </w:rPr>
              <w:t>Vitotherm</w:t>
            </w:r>
            <w:proofErr w:type="spellEnd"/>
            <w:r w:rsidRPr="00B05A34">
              <w:rPr>
                <w:rFonts w:ascii="Tahoma" w:eastAsia="Times New Roman" w:hAnsi="Tahoma" w:cs="Tahoma"/>
                <w:sz w:val="24"/>
                <w:szCs w:val="24"/>
                <w:lang w:eastAsia="ru-RU"/>
              </w:rPr>
              <w:t xml:space="preserve"> 2500».</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Здание спортивного корпуса выполнено из монолитного железобетона и разработано по индивидуальному проекту. Проектом предусмотрено 2-этажное здание с размерами в плане 24,0х18,0 м, под частью здания запроектирован подвал с отметкой пола -2,700.</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Технический этаж спортивного корпуса на отм.-2,700 сообщается с техническим этажом жилого дома.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В проект здания учет потребностей инвалидов выполнен для универсальной формы адаптации всех групп населения по мобильности, а также безопасность путей движения. Доступ маломобильных групп населения обеспечен на все этажи спортивного корпуса.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Доступность уровня первого этажа различных групп населения мобильности обеспечивается входной площадкой и пандусом, которые защищены от атмосферных осадков.</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2.9.</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Количество в составе строящегося многоквартирного дома самостоятельных частей (квартир в многоквартирном доме, гаражей и иных объектов недвижимости), описание технических характеристик указанных самостоятельных частей в соответствии с проектной документацией</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i/>
                <w:iCs/>
                <w:sz w:val="24"/>
                <w:szCs w:val="24"/>
                <w:u w:val="single"/>
                <w:lang w:eastAsia="ru-RU"/>
              </w:rPr>
              <w:t>Жилой дом:</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В составе строящегося многоквартирного жилого дома запроектировано 220 квартир, в том числе:</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квартир-студий - 80,</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- 1-комнатных квартир – 100,</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- 2-комнатных квартир – 40.</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Расчетное число жителей – 240 чел., при нормативе жилищной обеспеченности 35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/чел.</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Размещение квартир на этаже разбито на три группы – левая группа состоит из 4-х квартир-студий, средняя группа – из 5-ти однокомнатных квартир и правая группа – из 2-х двухкомнатных квартир. Квартиры-студии состоят из прихожей, совмещенного санузла (с ванной, умывальником и унитазом), кухни-столовой. Кухня-ниша снабжена необходимым набором технологического оборудования (мойкой, </w:t>
            </w:r>
            <w:r w:rsidRPr="00B05A34">
              <w:rPr>
                <w:rFonts w:ascii="Tahoma" w:eastAsia="Times New Roman" w:hAnsi="Tahoma" w:cs="Tahoma"/>
                <w:sz w:val="24"/>
                <w:szCs w:val="24"/>
                <w:lang w:eastAsia="ru-RU"/>
              </w:rPr>
              <w:lastRenderedPageBreak/>
              <w:t>электроплитой, холодильником, рабочим столом с возможностью трансформации в обеденный).</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Однокомнатные квартиры площадью – 34,79–37,96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xml:space="preserve"> и общей площадью соответственно 36,85–39,92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xml:space="preserve"> состоят из прихожей, кухни, площадью не менее 8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xml:space="preserve"> и общей комнаты площадью 17,37–19,66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Двухкомнатные квартиры состоят из: прихожей, площадью 5,07-6,47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кухни, площадью 9,56-10,57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гостиной 16,23-19,54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спальни 108,,-12,02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Площадь двухкомнатных квартир 45,70-52,68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общая площадь квартир, соответственно, 49,96-57,96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Все квартиры оборудованы летними помещениями (балконы, лоджии).</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Внутренняя отделка помещений предусмотрена нормативно и выполняется в полном объеме, а именно: стены – водоэмульсионная краска, высококачественные обои, панель из керамического гранита; полы – керамический гранит (не скользкий), </w:t>
            </w:r>
            <w:proofErr w:type="spellStart"/>
            <w:r w:rsidRPr="00B05A34">
              <w:rPr>
                <w:rFonts w:ascii="Tahoma" w:eastAsia="Times New Roman" w:hAnsi="Tahoma" w:cs="Tahoma"/>
                <w:sz w:val="24"/>
                <w:szCs w:val="24"/>
                <w:lang w:eastAsia="ru-RU"/>
              </w:rPr>
              <w:t>ламинатные</w:t>
            </w:r>
            <w:proofErr w:type="spellEnd"/>
            <w:r w:rsidRPr="00B05A34">
              <w:rPr>
                <w:rFonts w:ascii="Tahoma" w:eastAsia="Times New Roman" w:hAnsi="Tahoma" w:cs="Tahoma"/>
                <w:sz w:val="24"/>
                <w:szCs w:val="24"/>
                <w:lang w:eastAsia="ru-RU"/>
              </w:rPr>
              <w:t xml:space="preserve"> плиты; окна и балконные двери – из металлопластиковых профилей с заполнением стеклопакетом.</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i/>
                <w:iCs/>
                <w:sz w:val="24"/>
                <w:szCs w:val="24"/>
                <w:u w:val="single"/>
                <w:lang w:eastAsia="ru-RU"/>
              </w:rPr>
              <w:t>Административные помещения (количество – 26):</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Основной вход в административные помещения расположен со стороны входа в жилой дом. Через тамбур (площадью 4,84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посетитель попадает в вестибюль (площадью 12,52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с местом для дежурного (6,81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В непосредственной близости от входа расположены приемная (площадью 12,33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кабинет руководителя (площадью 21,72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с комнатой переговоров (площадью 15,07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и бытовым помещением (площадью 5,26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На этаже размещены 7 рабочих комнат (площадью от 21,21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xml:space="preserve"> до 43,61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комната для приема пищи (площадью 33,53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санузлы мужской и женский (общей площадью 31,85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кладовая уборочного инвентаря (площадью 3,65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Площадь коридоров составляет 94,63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Для помещений первого этажа предусмотрен второй эвакуационный выход </w:t>
            </w:r>
            <w:r w:rsidRPr="00B05A34">
              <w:rPr>
                <w:rFonts w:ascii="Tahoma" w:eastAsia="Times New Roman" w:hAnsi="Tahoma" w:cs="Tahoma"/>
                <w:sz w:val="24"/>
                <w:szCs w:val="24"/>
                <w:lang w:eastAsia="ru-RU"/>
              </w:rPr>
              <w:lastRenderedPageBreak/>
              <w:t>непосредственно наружу.</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Кроме помещений административного назначения, на первом этаже расположен входной узел жилого дома, помещение пожарного поста с санузлом (площадью 15,32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xml:space="preserve">) и </w:t>
            </w:r>
            <w:proofErr w:type="spellStart"/>
            <w:r w:rsidRPr="00B05A34">
              <w:rPr>
                <w:rFonts w:ascii="Tahoma" w:eastAsia="Times New Roman" w:hAnsi="Tahoma" w:cs="Tahoma"/>
                <w:sz w:val="24"/>
                <w:szCs w:val="24"/>
                <w:lang w:eastAsia="ru-RU"/>
              </w:rPr>
              <w:t>мусорокамера</w:t>
            </w:r>
            <w:proofErr w:type="spellEnd"/>
            <w:r w:rsidRPr="00B05A34">
              <w:rPr>
                <w:rFonts w:ascii="Tahoma" w:eastAsia="Times New Roman" w:hAnsi="Tahoma" w:cs="Tahoma"/>
                <w:sz w:val="24"/>
                <w:szCs w:val="24"/>
                <w:lang w:eastAsia="ru-RU"/>
              </w:rPr>
              <w:t>, имеющие обособленные выходы наружу.</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В составе входного узла предусмотрены: тамбур (площадью 2,90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лифтовой холл, помещение консьержки  с санузлом (площадью 8,06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кладовая уборочного инвентаря, оборудованная раковиной (площадью 7,01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i/>
                <w:iCs/>
                <w:sz w:val="24"/>
                <w:szCs w:val="24"/>
                <w:u w:val="single"/>
                <w:lang w:eastAsia="ru-RU"/>
              </w:rPr>
              <w:t>Спортивный комплекс:</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Главный вход в здание располагается с северной стороны спортивного корпуса. Вход в вестибюль (площадью 18,25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выполнен через тамбур (площадью 6,95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Смежно с вестибюлем запроектирован гардероб для занимающихся (площадью 8,39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На первом этаже спортивного корпуса размещается спортивный зал (площадью 224,74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и снарядная (площадью 6,19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К спортивному блоку примыкают:</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блок мужской раздевалки (площадью 32,91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с санузлом и душевой, включая универсальную сантехническую кабину для МГН (площадью 17,81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тренерская (площадью 12,43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с санитарным узлом и душевой (площадью 12,52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Кроме того, на 1 этаже размещаются:</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комната персонала (площадью 8,32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кабинет врача (площадью 18,32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с ожидальней (площадью 9,64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Площадь коридоров составляет 42,97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На 2 этаже спортивного комплекса размещаются:</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- 2 помещения тренажерных залов (площадью 24,59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xml:space="preserve"> и 21,71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зал для занятий фитнесом (площадью 42,06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блок женской раздевалки (площадью 31,52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с санузлом и душевой, включая универсальную сантехническую кабину для МГН (площадью 9,85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тренерская с санузлом и душевой (площадью 12,34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xml:space="preserve">). Площадь коридоров </w:t>
            </w:r>
            <w:r w:rsidRPr="00B05A34">
              <w:rPr>
                <w:rFonts w:ascii="Tahoma" w:eastAsia="Times New Roman" w:hAnsi="Tahoma" w:cs="Tahoma"/>
                <w:sz w:val="24"/>
                <w:szCs w:val="24"/>
                <w:lang w:eastAsia="ru-RU"/>
              </w:rPr>
              <w:lastRenderedPageBreak/>
              <w:t>составляет 39,38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На крыше спортивного корпуса рассоложена блочно-модульная котельная БМК «</w:t>
            </w:r>
            <w:proofErr w:type="spellStart"/>
            <w:r w:rsidRPr="00B05A34">
              <w:rPr>
                <w:rFonts w:ascii="Tahoma" w:eastAsia="Times New Roman" w:hAnsi="Tahoma" w:cs="Tahoma"/>
                <w:sz w:val="24"/>
                <w:szCs w:val="24"/>
                <w:lang w:eastAsia="ru-RU"/>
              </w:rPr>
              <w:t>Vitotherm</w:t>
            </w:r>
            <w:proofErr w:type="spellEnd"/>
            <w:r w:rsidRPr="00B05A34">
              <w:rPr>
                <w:rFonts w:ascii="Tahoma" w:eastAsia="Times New Roman" w:hAnsi="Tahoma" w:cs="Tahoma"/>
                <w:sz w:val="24"/>
                <w:szCs w:val="24"/>
                <w:lang w:eastAsia="ru-RU"/>
              </w:rPr>
              <w:t xml:space="preserve"> 2500», используемая для обеспечения покрытия расчетных нагрузок теплоснабжения.</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Котельная поставляется на объект как готовое изделие полной заводской готовности, имеющее все необходимые сертификаты соответствия стандартам РФ и разрешения на применение.</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Объем котельного зала – 148 м</w:t>
            </w:r>
            <w:r w:rsidRPr="00B05A34">
              <w:rPr>
                <w:rFonts w:ascii="Tahoma" w:eastAsia="Times New Roman" w:hAnsi="Tahoma" w:cs="Tahoma"/>
                <w:sz w:val="24"/>
                <w:szCs w:val="24"/>
                <w:vertAlign w:val="superscript"/>
                <w:lang w:eastAsia="ru-RU"/>
              </w:rPr>
              <w:t>3</w:t>
            </w:r>
            <w:r w:rsidRPr="00B05A34">
              <w:rPr>
                <w:rFonts w:ascii="Tahoma" w:eastAsia="Times New Roman" w:hAnsi="Tahoma" w:cs="Tahoma"/>
                <w:sz w:val="24"/>
                <w:szCs w:val="24"/>
                <w:lang w:eastAsia="ru-RU"/>
              </w:rPr>
              <w:t xml:space="preserve">. Площадь </w:t>
            </w:r>
            <w:proofErr w:type="spellStart"/>
            <w:r w:rsidRPr="00B05A34">
              <w:rPr>
                <w:rFonts w:ascii="Tahoma" w:eastAsia="Times New Roman" w:hAnsi="Tahoma" w:cs="Tahoma"/>
                <w:sz w:val="24"/>
                <w:szCs w:val="24"/>
                <w:lang w:eastAsia="ru-RU"/>
              </w:rPr>
              <w:t>легкосбрасываемых</w:t>
            </w:r>
            <w:proofErr w:type="spellEnd"/>
            <w:r w:rsidRPr="00B05A34">
              <w:rPr>
                <w:rFonts w:ascii="Tahoma" w:eastAsia="Times New Roman" w:hAnsi="Tahoma" w:cs="Tahoma"/>
                <w:sz w:val="24"/>
                <w:szCs w:val="24"/>
                <w:lang w:eastAsia="ru-RU"/>
              </w:rPr>
              <w:t xml:space="preserve"> конструкций (остекление котельной) – 4,5 м</w:t>
            </w:r>
            <w:r w:rsidRPr="00B05A34">
              <w:rPr>
                <w:rFonts w:ascii="Tahoma" w:eastAsia="Times New Roman" w:hAnsi="Tahoma" w:cs="Tahoma"/>
                <w:sz w:val="24"/>
                <w:szCs w:val="24"/>
                <w:vertAlign w:val="superscript"/>
                <w:lang w:eastAsia="ru-RU"/>
              </w:rPr>
              <w:t>2</w:t>
            </w:r>
            <w:r w:rsidRPr="00B05A34">
              <w:rPr>
                <w:rFonts w:ascii="Tahoma" w:eastAsia="Times New Roman" w:hAnsi="Tahoma" w:cs="Tahoma"/>
                <w:sz w:val="24"/>
                <w:szCs w:val="24"/>
                <w:lang w:eastAsia="ru-RU"/>
              </w:rPr>
              <w:t xml:space="preserve">. В качестве </w:t>
            </w:r>
            <w:proofErr w:type="spellStart"/>
            <w:r w:rsidRPr="00B05A34">
              <w:rPr>
                <w:rFonts w:ascii="Tahoma" w:eastAsia="Times New Roman" w:hAnsi="Tahoma" w:cs="Tahoma"/>
                <w:sz w:val="24"/>
                <w:szCs w:val="24"/>
                <w:lang w:eastAsia="ru-RU"/>
              </w:rPr>
              <w:t>легкосбрасываемых</w:t>
            </w:r>
            <w:proofErr w:type="spellEnd"/>
            <w:r w:rsidRPr="00B05A34">
              <w:rPr>
                <w:rFonts w:ascii="Tahoma" w:eastAsia="Times New Roman" w:hAnsi="Tahoma" w:cs="Tahoma"/>
                <w:sz w:val="24"/>
                <w:szCs w:val="24"/>
                <w:lang w:eastAsia="ru-RU"/>
              </w:rPr>
              <w:t xml:space="preserve"> конструкций используется одинарное остекление.</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i/>
                <w:iCs/>
                <w:sz w:val="24"/>
                <w:szCs w:val="24"/>
                <w:lang w:eastAsia="ru-RU"/>
              </w:rPr>
              <w:t>Технические характеристики БМК «</w:t>
            </w:r>
            <w:proofErr w:type="spellStart"/>
            <w:r w:rsidRPr="00B05A34">
              <w:rPr>
                <w:rFonts w:ascii="Tahoma" w:eastAsia="Times New Roman" w:hAnsi="Tahoma" w:cs="Tahoma"/>
                <w:i/>
                <w:iCs/>
                <w:sz w:val="24"/>
                <w:szCs w:val="24"/>
                <w:lang w:eastAsia="ru-RU"/>
              </w:rPr>
              <w:t>Vitotherm</w:t>
            </w:r>
            <w:proofErr w:type="spellEnd"/>
            <w:r w:rsidRPr="00B05A34">
              <w:rPr>
                <w:rFonts w:ascii="Tahoma" w:eastAsia="Times New Roman" w:hAnsi="Tahoma" w:cs="Tahoma"/>
                <w:i/>
                <w:iCs/>
                <w:sz w:val="24"/>
                <w:szCs w:val="24"/>
                <w:lang w:eastAsia="ru-RU"/>
              </w:rPr>
              <w:t xml:space="preserve"> 2500»:</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установленная мощность котельной – 2,616 МВт;</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система теплоснабжения – закрытая, двухтрубная с двумя контурами теплоснабжения;</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мощность контура теплоснабжения № 1 – для дома № 5 и спортивного корпуса – 1,132181 МВт;</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мощность контура теплоснабжения № 2 – для дома № 4 – 0,995528 МВт;</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температурный график контуров теплоснабжения (постоянный) – t=95-60ºС;</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 установленная </w:t>
            </w:r>
            <w:proofErr w:type="spellStart"/>
            <w:r w:rsidRPr="00B05A34">
              <w:rPr>
                <w:rFonts w:ascii="Tahoma" w:eastAsia="Times New Roman" w:hAnsi="Tahoma" w:cs="Tahoma"/>
                <w:sz w:val="24"/>
                <w:szCs w:val="24"/>
                <w:lang w:eastAsia="ru-RU"/>
              </w:rPr>
              <w:t>эл.мощность</w:t>
            </w:r>
            <w:proofErr w:type="spellEnd"/>
            <w:r w:rsidRPr="00B05A34">
              <w:rPr>
                <w:rFonts w:ascii="Tahoma" w:eastAsia="Times New Roman" w:hAnsi="Tahoma" w:cs="Tahoma"/>
                <w:sz w:val="24"/>
                <w:szCs w:val="24"/>
                <w:lang w:eastAsia="ru-RU"/>
              </w:rPr>
              <w:t xml:space="preserve"> котельной – 19,5 Вт, питание от двух независимых взаимно резервируемых источников теплоснабжения;</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КПД котельной – не менее 92%;</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уровень шума на расстоянии 0,2 м от наружной стены - &lt;60дБ.</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2.10.</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Функциональное назначение нежилых помещений в многоквартирном доме, не входящих в состав общего имущества в многоквартирном доме</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В состав </w:t>
            </w:r>
            <w:r w:rsidRPr="00B05A34">
              <w:rPr>
                <w:rFonts w:ascii="Tahoma" w:eastAsia="Times New Roman" w:hAnsi="Tahoma" w:cs="Tahoma"/>
                <w:b/>
                <w:bCs/>
                <w:i/>
                <w:iCs/>
                <w:sz w:val="24"/>
                <w:szCs w:val="24"/>
                <w:lang w:eastAsia="ru-RU"/>
              </w:rPr>
              <w:t>административных помещений</w:t>
            </w:r>
            <w:r w:rsidRPr="00B05A34">
              <w:rPr>
                <w:rFonts w:ascii="Tahoma" w:eastAsia="Times New Roman" w:hAnsi="Tahoma" w:cs="Tahoma"/>
                <w:sz w:val="24"/>
                <w:szCs w:val="24"/>
                <w:lang w:eastAsia="ru-RU"/>
              </w:rPr>
              <w:t xml:space="preserve"> входят основные функциональные группы: кабинет администратора с приемной, рабочие помещения структурных подразделений учреждения, помещения бытового назначения (санузлы, комната приема пищи, кладовая уборочного инвентаря, санузел для МГН), помещения технического обслуживания – кладовые.</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Численность работающих – 31 человек, режим работы: 1 рабочая смена, продолжительность смены – 8 часов.</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К северному торцу здания многоквартирного жилого дома примыкает </w:t>
            </w:r>
            <w:r w:rsidRPr="00B05A34">
              <w:rPr>
                <w:rFonts w:ascii="Tahoma" w:eastAsia="Times New Roman" w:hAnsi="Tahoma" w:cs="Tahoma"/>
                <w:b/>
                <w:bCs/>
                <w:i/>
                <w:iCs/>
                <w:sz w:val="24"/>
                <w:szCs w:val="24"/>
                <w:lang w:eastAsia="ru-RU"/>
              </w:rPr>
              <w:t>спортивный корпус</w:t>
            </w:r>
            <w:r w:rsidRPr="00B05A34">
              <w:rPr>
                <w:rFonts w:ascii="Tahoma" w:eastAsia="Times New Roman" w:hAnsi="Tahoma" w:cs="Tahoma"/>
                <w:sz w:val="24"/>
                <w:szCs w:val="24"/>
                <w:lang w:eastAsia="ru-RU"/>
              </w:rPr>
              <w:t xml:space="preserve"> с режимом работы: количество смен – 1,5; продолжительность смены – 8 часов.</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Спортивные залы предназначены для учебно-тренировочных занятий.</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Единовременная пропускная способность – 25 чел./ч. Количество работающих – 9 человек, в т.ч. 5 тренеров, 1 врач, 1 администратор, 2 уборщицы.</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Блочно-модульная котельная «</w:t>
            </w:r>
            <w:proofErr w:type="spellStart"/>
            <w:r w:rsidRPr="00B05A34">
              <w:rPr>
                <w:rFonts w:ascii="Tahoma" w:eastAsia="Times New Roman" w:hAnsi="Tahoma" w:cs="Tahoma"/>
                <w:sz w:val="24"/>
                <w:szCs w:val="24"/>
                <w:lang w:eastAsia="ru-RU"/>
              </w:rPr>
              <w:t>Vitotherm</w:t>
            </w:r>
            <w:proofErr w:type="spellEnd"/>
            <w:r w:rsidRPr="00B05A34">
              <w:rPr>
                <w:rFonts w:ascii="Tahoma" w:eastAsia="Times New Roman" w:hAnsi="Tahoma" w:cs="Tahoma"/>
                <w:sz w:val="24"/>
                <w:szCs w:val="24"/>
                <w:lang w:eastAsia="ru-RU"/>
              </w:rPr>
              <w:t xml:space="preserve"> 2500», расположенная на крыше спортивного корпуса, предназначена для теплоснабжения многоквартирного жилого дома № 5 со встроенными административными помещениями и пристроенным спортивным корпусом и многоквартирного жилого дома № 4 в застройке 6А МКР СЖР в г.Ростове-на-Дону.</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2.11.</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Состав общего имущества в жилом доме, которое будет находиться в общей долевой собственности участников долевого строительства</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Помещения, не являющиеся частями квартир, предназначенные для обслуживания более одного помещения в доме, в том числе: тамбур, лифтовой холл, помещение дежурного (консьержа), кладовая уборочного инвентаря, помещение пожарного поста, </w:t>
            </w:r>
            <w:proofErr w:type="spellStart"/>
            <w:r w:rsidRPr="00B05A34">
              <w:rPr>
                <w:rFonts w:ascii="Tahoma" w:eastAsia="Times New Roman" w:hAnsi="Tahoma" w:cs="Tahoma"/>
                <w:sz w:val="24"/>
                <w:szCs w:val="24"/>
                <w:lang w:eastAsia="ru-RU"/>
              </w:rPr>
              <w:t>мусоросборная</w:t>
            </w:r>
            <w:proofErr w:type="spellEnd"/>
            <w:r w:rsidRPr="00B05A34">
              <w:rPr>
                <w:rFonts w:ascii="Tahoma" w:eastAsia="Times New Roman" w:hAnsi="Tahoma" w:cs="Tahoma"/>
                <w:sz w:val="24"/>
                <w:szCs w:val="24"/>
                <w:lang w:eastAsia="ru-RU"/>
              </w:rPr>
              <w:t xml:space="preserve"> камера, </w:t>
            </w:r>
            <w:proofErr w:type="spellStart"/>
            <w:r w:rsidRPr="00B05A34">
              <w:rPr>
                <w:rFonts w:ascii="Tahoma" w:eastAsia="Times New Roman" w:hAnsi="Tahoma" w:cs="Tahoma"/>
                <w:sz w:val="24"/>
                <w:szCs w:val="24"/>
                <w:lang w:eastAsia="ru-RU"/>
              </w:rPr>
              <w:t>электрощитовые</w:t>
            </w:r>
            <w:proofErr w:type="spellEnd"/>
            <w:r w:rsidRPr="00B05A34">
              <w:rPr>
                <w:rFonts w:ascii="Tahoma" w:eastAsia="Times New Roman" w:hAnsi="Tahoma" w:cs="Tahoma"/>
                <w:sz w:val="24"/>
                <w:szCs w:val="24"/>
                <w:lang w:eastAsia="ru-RU"/>
              </w:rPr>
              <w:t xml:space="preserve">, лифтовой холл, </w:t>
            </w:r>
            <w:proofErr w:type="spellStart"/>
            <w:r w:rsidRPr="00B05A34">
              <w:rPr>
                <w:rFonts w:ascii="Tahoma" w:eastAsia="Times New Roman" w:hAnsi="Tahoma" w:cs="Tahoma"/>
                <w:sz w:val="24"/>
                <w:szCs w:val="24"/>
                <w:lang w:eastAsia="ru-RU"/>
              </w:rPr>
              <w:t>внеквартирные</w:t>
            </w:r>
            <w:proofErr w:type="spellEnd"/>
            <w:r w:rsidRPr="00B05A34">
              <w:rPr>
                <w:rFonts w:ascii="Tahoma" w:eastAsia="Times New Roman" w:hAnsi="Tahoma" w:cs="Tahoma"/>
                <w:sz w:val="24"/>
                <w:szCs w:val="24"/>
                <w:lang w:eastAsia="ru-RU"/>
              </w:rPr>
              <w:t xml:space="preserve"> коридоры, лестничные клетки, лифты, незадымляемые балконы, отсек для прокладки воздуховодов, </w:t>
            </w:r>
            <w:proofErr w:type="spellStart"/>
            <w:r w:rsidRPr="00B05A34">
              <w:rPr>
                <w:rFonts w:ascii="Tahoma" w:eastAsia="Times New Roman" w:hAnsi="Tahoma" w:cs="Tahoma"/>
                <w:sz w:val="24"/>
                <w:szCs w:val="24"/>
                <w:lang w:eastAsia="ru-RU"/>
              </w:rPr>
              <w:t>венткамера</w:t>
            </w:r>
            <w:proofErr w:type="spellEnd"/>
            <w:r w:rsidRPr="00B05A34">
              <w:rPr>
                <w:rFonts w:ascii="Tahoma" w:eastAsia="Times New Roman" w:hAnsi="Tahoma" w:cs="Tahoma"/>
                <w:sz w:val="24"/>
                <w:szCs w:val="24"/>
                <w:lang w:eastAsia="ru-RU"/>
              </w:rPr>
              <w:t xml:space="preserve"> </w:t>
            </w:r>
            <w:proofErr w:type="spellStart"/>
            <w:r w:rsidRPr="00B05A34">
              <w:rPr>
                <w:rFonts w:ascii="Tahoma" w:eastAsia="Times New Roman" w:hAnsi="Tahoma" w:cs="Tahoma"/>
                <w:sz w:val="24"/>
                <w:szCs w:val="24"/>
                <w:lang w:eastAsia="ru-RU"/>
              </w:rPr>
              <w:t>дымоудаления</w:t>
            </w:r>
            <w:proofErr w:type="spellEnd"/>
            <w:r w:rsidRPr="00B05A34">
              <w:rPr>
                <w:rFonts w:ascii="Tahoma" w:eastAsia="Times New Roman" w:hAnsi="Tahoma" w:cs="Tahoma"/>
                <w:sz w:val="24"/>
                <w:szCs w:val="24"/>
                <w:lang w:eastAsia="ru-RU"/>
              </w:rPr>
              <w:t xml:space="preserve">, </w:t>
            </w:r>
            <w:proofErr w:type="spellStart"/>
            <w:r w:rsidRPr="00B05A34">
              <w:rPr>
                <w:rFonts w:ascii="Tahoma" w:eastAsia="Times New Roman" w:hAnsi="Tahoma" w:cs="Tahoma"/>
                <w:sz w:val="24"/>
                <w:szCs w:val="24"/>
                <w:lang w:eastAsia="ru-RU"/>
              </w:rPr>
              <w:t>венткамеры</w:t>
            </w:r>
            <w:proofErr w:type="spellEnd"/>
            <w:r w:rsidRPr="00B05A34">
              <w:rPr>
                <w:rFonts w:ascii="Tahoma" w:eastAsia="Times New Roman" w:hAnsi="Tahoma" w:cs="Tahoma"/>
                <w:sz w:val="24"/>
                <w:szCs w:val="24"/>
                <w:lang w:eastAsia="ru-RU"/>
              </w:rPr>
              <w:t xml:space="preserve"> подпора воздуха, машинное помещение лифта, техническое помещение, помещение ВНС хозяйственно-питьевой, ВНС пожарная, индивидуальный тепловой пункт, техническое подполье, </w:t>
            </w:r>
            <w:proofErr w:type="spellStart"/>
            <w:r w:rsidRPr="00B05A34">
              <w:rPr>
                <w:rFonts w:ascii="Tahoma" w:eastAsia="Times New Roman" w:hAnsi="Tahoma" w:cs="Tahoma"/>
                <w:sz w:val="24"/>
                <w:szCs w:val="24"/>
                <w:lang w:eastAsia="ru-RU"/>
              </w:rPr>
              <w:t>крышная</w:t>
            </w:r>
            <w:proofErr w:type="spellEnd"/>
            <w:r w:rsidRPr="00B05A34">
              <w:rPr>
                <w:rFonts w:ascii="Tahoma" w:eastAsia="Times New Roman" w:hAnsi="Tahoma" w:cs="Tahoma"/>
                <w:sz w:val="24"/>
                <w:szCs w:val="24"/>
                <w:lang w:eastAsia="ru-RU"/>
              </w:rPr>
              <w:t xml:space="preserve"> блочно-модульная котельная, ограждающие несущие и ненесущие конструкции, а также иные помещения и оборудование, обслуживающее более одного помещения.</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2.12.</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Предполагаемый срок получения разрешения на ввод в эксплуатации жилого дома</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Предполагаемый срок ввода в эксплуатацию жилого дома I квартал 2017 г.</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2.13.</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Орган,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Департамент архитектуры и градостроительства г. Ростова-на-Дону.</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2.14.</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Возможные финансовые и прочие риски при осуществлении проекта строительства и мерах по добровольному страхованию застройщиком таких рисков</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Существуют умеренные инфляционные риски.</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Меры по добровольному страхованию финансовых и прочих рисков Застройщиком не предусматриваются.</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2.15.</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Планируемая стоимость строительства (создания) многоквартирного дома</w:t>
            </w:r>
          </w:p>
        </w:tc>
        <w:tc>
          <w:tcPr>
            <w:tcW w:w="5400" w:type="dxa"/>
            <w:gridSpan w:val="3"/>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455 046 961 рубль</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2.16.</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Перечень организаций, осуществляющих основные строительно-монтажные и другие работы (подрядчики)</w:t>
            </w:r>
          </w:p>
        </w:tc>
        <w:tc>
          <w:tcPr>
            <w:tcW w:w="5400" w:type="dxa"/>
            <w:gridSpan w:val="3"/>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ООО «Строй </w:t>
            </w:r>
            <w:proofErr w:type="spellStart"/>
            <w:r w:rsidRPr="00B05A34">
              <w:rPr>
                <w:rFonts w:ascii="Tahoma" w:eastAsia="Times New Roman" w:hAnsi="Tahoma" w:cs="Tahoma"/>
                <w:sz w:val="24"/>
                <w:szCs w:val="24"/>
                <w:lang w:eastAsia="ru-RU"/>
              </w:rPr>
              <w:t>Капитал-Девелопмент</w:t>
            </w:r>
            <w:proofErr w:type="spellEnd"/>
            <w:r w:rsidRPr="00B05A34">
              <w:rPr>
                <w:rFonts w:ascii="Tahoma" w:eastAsia="Times New Roman" w:hAnsi="Tahoma" w:cs="Tahoma"/>
                <w:sz w:val="24"/>
                <w:szCs w:val="24"/>
                <w:lang w:eastAsia="ru-RU"/>
              </w:rPr>
              <w:t>»</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2.17.</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Способ обеспечения исполнения обязательств застройщика по договору</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В соответствии со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застройщиком по договорам долевого участия в строительстве с момента государственной регистрации первого договора в Управлении Федеральной службы государственной регистрации, кадастра и картографии по Ростовской области у участников долевого строительства считаются находящимися в залоге предоставленный для строительства (создания)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(создаваемый) на этом земельном участке многоквартирный дом.</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xml:space="preserve">Исполнение обязательств застройщика по передаче жилого помещения участнику долевого строительства путем возврата </w:t>
            </w:r>
            <w:r w:rsidRPr="00B05A34">
              <w:rPr>
                <w:rFonts w:ascii="Tahoma" w:eastAsia="Times New Roman" w:hAnsi="Tahoma" w:cs="Tahoma"/>
                <w:sz w:val="24"/>
                <w:szCs w:val="24"/>
                <w:lang w:eastAsia="ru-RU"/>
              </w:rPr>
              <w:lastRenderedPageBreak/>
              <w:t xml:space="preserve">денежных средств участнику долевого строительства по всем договорам, заключенным для строительства (создания) многоквартирного дома на основании разрешения на строительство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r:id="rId4" w:history="1">
              <w:r w:rsidRPr="00B05A34">
                <w:rPr>
                  <w:rFonts w:ascii="Tahoma" w:eastAsia="Times New Roman" w:hAnsi="Tahoma" w:cs="Tahoma"/>
                  <w:color w:val="0000FF"/>
                  <w:sz w:val="24"/>
                  <w:szCs w:val="24"/>
                  <w:u w:val="single"/>
                  <w:lang w:eastAsia="ru-RU"/>
                </w:rPr>
                <w:t>статьей 15.2</w:t>
              </w:r>
            </w:hyperlink>
            <w:r w:rsidRPr="00B05A34">
              <w:rPr>
                <w:rFonts w:ascii="Tahoma" w:eastAsia="Times New Roman" w:hAnsi="Tahoma" w:cs="Tahoma"/>
                <w:sz w:val="24"/>
                <w:szCs w:val="24"/>
                <w:lang w:eastAsia="ru-RU"/>
              </w:rPr>
              <w:t xml:space="preserve"> указанного закона.</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Страховщик – ЗАО «Страховая компания «Выручим!» на основании Генерального договора страхования гражданской ответственности Застройщика от 08 декабря 2014 года № ГОЗ/140068.</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 </w:t>
            </w:r>
          </w:p>
        </w:tc>
      </w:tr>
      <w:tr w:rsidR="00B05A34" w:rsidRPr="00B05A34" w:rsidTr="00B05A34">
        <w:tc>
          <w:tcPr>
            <w:tcW w:w="870"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lastRenderedPageBreak/>
              <w:t>2.18.</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Сведения об иных договорах и сделках, на основании которых привлекаются денежные средства для строительства жилого комплекса, за исключением привлечения денежных средств по договорам долевого участия в строительстве</w:t>
            </w:r>
          </w:p>
        </w:tc>
        <w:tc>
          <w:tcPr>
            <w:tcW w:w="5385" w:type="dxa"/>
            <w:gridSpan w:val="2"/>
            <w:tcMar>
              <w:top w:w="30" w:type="dxa"/>
              <w:left w:w="75" w:type="dxa"/>
              <w:bottom w:w="30" w:type="dxa"/>
              <w:right w:w="75" w:type="dxa"/>
            </w:tcMa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Денежные средства по иным договорам и сделкам, кроме договоров долевого участия в строительстве, не привлекаются.</w:t>
            </w:r>
          </w:p>
        </w:tc>
        <w:tc>
          <w:tcPr>
            <w:tcW w:w="15" w:type="dxa"/>
            <w:tcMar>
              <w:top w:w="30" w:type="dxa"/>
              <w:left w:w="75" w:type="dxa"/>
              <w:bottom w:w="30" w:type="dxa"/>
              <w:right w:w="75" w:type="dxa"/>
            </w:tcMar>
            <w:vAlign w:val="center"/>
            <w:hideMark/>
          </w:tcPr>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r w:rsidR="00B05A34" w:rsidRPr="00B05A34" w:rsidTr="00B05A34">
        <w:tc>
          <w:tcPr>
            <w:tcW w:w="870" w:type="dxa"/>
            <w:tcMar>
              <w:top w:w="30" w:type="dxa"/>
              <w:left w:w="75" w:type="dxa"/>
              <w:bottom w:w="30" w:type="dxa"/>
              <w:right w:w="75" w:type="dxa"/>
            </w:tcMar>
            <w:vAlign w:val="center"/>
            <w:hideMark/>
          </w:tcPr>
          <w:p w:rsidR="00B05A34" w:rsidRPr="00B05A34" w:rsidRDefault="00B05A34" w:rsidP="00B05A34">
            <w:pPr>
              <w:spacing w:after="0" w:line="0" w:lineRule="atLeast"/>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3345" w:type="dxa"/>
            <w:tcMar>
              <w:top w:w="30" w:type="dxa"/>
              <w:left w:w="75" w:type="dxa"/>
              <w:bottom w:w="30" w:type="dxa"/>
              <w:right w:w="75" w:type="dxa"/>
            </w:tcMar>
            <w:vAlign w:val="center"/>
            <w:hideMark/>
          </w:tcPr>
          <w:p w:rsidR="00B05A34" w:rsidRPr="00B05A34" w:rsidRDefault="00B05A34" w:rsidP="00B05A34">
            <w:pPr>
              <w:spacing w:after="0" w:line="0" w:lineRule="atLeast"/>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15" w:type="dxa"/>
            <w:tcMar>
              <w:top w:w="30" w:type="dxa"/>
              <w:left w:w="75" w:type="dxa"/>
              <w:bottom w:w="30" w:type="dxa"/>
              <w:right w:w="75" w:type="dxa"/>
            </w:tcMar>
            <w:vAlign w:val="center"/>
            <w:hideMark/>
          </w:tcPr>
          <w:p w:rsidR="00B05A34" w:rsidRPr="00B05A34" w:rsidRDefault="00B05A34" w:rsidP="00B05A34">
            <w:pPr>
              <w:spacing w:after="0" w:line="0" w:lineRule="atLeast"/>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5385" w:type="dxa"/>
            <w:tcMar>
              <w:top w:w="30" w:type="dxa"/>
              <w:left w:w="75" w:type="dxa"/>
              <w:bottom w:w="30" w:type="dxa"/>
              <w:right w:w="75" w:type="dxa"/>
            </w:tcMar>
            <w:vAlign w:val="center"/>
            <w:hideMark/>
          </w:tcPr>
          <w:p w:rsidR="00B05A34" w:rsidRPr="00B05A34" w:rsidRDefault="00B05A34" w:rsidP="00B05A34">
            <w:pPr>
              <w:spacing w:after="0" w:line="0" w:lineRule="atLeast"/>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c>
          <w:tcPr>
            <w:tcW w:w="15" w:type="dxa"/>
            <w:tcMar>
              <w:top w:w="30" w:type="dxa"/>
              <w:left w:w="75" w:type="dxa"/>
              <w:bottom w:w="30" w:type="dxa"/>
              <w:right w:w="75" w:type="dxa"/>
            </w:tcMar>
            <w:vAlign w:val="center"/>
            <w:hideMark/>
          </w:tcPr>
          <w:p w:rsidR="00B05A34" w:rsidRPr="00B05A34" w:rsidRDefault="00B05A34" w:rsidP="00B05A34">
            <w:pPr>
              <w:spacing w:after="0" w:line="0" w:lineRule="atLeast"/>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tc>
      </w:tr>
    </w:tbl>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Проектная декларация будет опубликована не позднее 10.12.2014 г. на сайте: www.Rostov-gorod.ru</w:t>
      </w:r>
      <w:r w:rsidRPr="00B05A34">
        <w:rPr>
          <w:rFonts w:ascii="Tahoma" w:eastAsia="Times New Roman" w:hAnsi="Tahoma" w:cs="Tahoma"/>
          <w:b/>
          <w:bCs/>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 xml:space="preserve">Генеральный директор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 xml:space="preserve">МКП «Объединенная дирекция строящихся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b/>
          <w:bCs/>
          <w:sz w:val="24"/>
          <w:szCs w:val="24"/>
          <w:lang w:eastAsia="ru-RU"/>
        </w:rPr>
        <w:t>объектов г. Ростова-на-Дону»                                                                                            </w:t>
      </w:r>
      <w:proofErr w:type="spellStart"/>
      <w:r w:rsidRPr="00B05A34">
        <w:rPr>
          <w:rFonts w:ascii="Tahoma" w:eastAsia="Times New Roman" w:hAnsi="Tahoma" w:cs="Tahoma"/>
          <w:b/>
          <w:bCs/>
          <w:sz w:val="24"/>
          <w:szCs w:val="24"/>
          <w:lang w:eastAsia="ru-RU"/>
        </w:rPr>
        <w:t>Н.Н.Манцивода</w:t>
      </w:r>
      <w:proofErr w:type="spellEnd"/>
      <w:r w:rsidRPr="00B05A34">
        <w:rPr>
          <w:rFonts w:ascii="Tahoma" w:eastAsia="Times New Roman" w:hAnsi="Tahoma" w:cs="Tahoma"/>
          <w:b/>
          <w:bCs/>
          <w:sz w:val="24"/>
          <w:szCs w:val="24"/>
          <w:lang w:eastAsia="ru-RU"/>
        </w:rPr>
        <w:t> </w:t>
      </w:r>
    </w:p>
    <w:p w:rsidR="00B05A34" w:rsidRPr="00B05A34" w:rsidRDefault="00B05A34" w:rsidP="00B05A34">
      <w:pPr>
        <w:spacing w:before="15" w:after="15" w:line="240" w:lineRule="auto"/>
        <w:ind w:firstLine="300"/>
        <w:jc w:val="both"/>
        <w:rPr>
          <w:rFonts w:ascii="Tahoma" w:eastAsia="Times New Roman" w:hAnsi="Tahoma" w:cs="Tahoma"/>
          <w:sz w:val="24"/>
          <w:szCs w:val="24"/>
          <w:lang w:eastAsia="ru-RU"/>
        </w:rPr>
      </w:pPr>
      <w:r w:rsidRPr="00B05A34">
        <w:rPr>
          <w:rFonts w:ascii="Tahoma" w:eastAsia="Times New Roman" w:hAnsi="Tahoma" w:cs="Tahoma"/>
          <w:sz w:val="24"/>
          <w:szCs w:val="24"/>
          <w:lang w:eastAsia="ru-RU"/>
        </w:rPr>
        <w:t>   </w:t>
      </w:r>
      <w:r w:rsidRPr="00B05A34">
        <w:rPr>
          <w:rFonts w:ascii="Tahoma" w:eastAsia="Times New Roman" w:hAnsi="Tahoma" w:cs="Tahoma"/>
          <w:b/>
          <w:bCs/>
          <w:sz w:val="24"/>
          <w:szCs w:val="24"/>
          <w:lang w:eastAsia="ru-RU"/>
        </w:rPr>
        <w:t> </w:t>
      </w:r>
    </w:p>
    <w:p w:rsidR="00B35946" w:rsidRDefault="00336C09">
      <w:bookmarkStart w:id="0" w:name="_GoBack"/>
      <w:bookmarkEnd w:id="0"/>
    </w:p>
    <w:sectPr w:rsidR="00B35946" w:rsidSect="00E05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2349C1"/>
    <w:rsid w:val="002349C1"/>
    <w:rsid w:val="00336C09"/>
    <w:rsid w:val="004C7F43"/>
    <w:rsid w:val="00905863"/>
    <w:rsid w:val="00B05A34"/>
    <w:rsid w:val="00E05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076618">
      <w:bodyDiv w:val="1"/>
      <w:marLeft w:val="0"/>
      <w:marRight w:val="0"/>
      <w:marTop w:val="0"/>
      <w:marBottom w:val="0"/>
      <w:divBdr>
        <w:top w:val="none" w:sz="0" w:space="0" w:color="auto"/>
        <w:left w:val="none" w:sz="0" w:space="0" w:color="auto"/>
        <w:bottom w:val="none" w:sz="0" w:space="0" w:color="auto"/>
        <w:right w:val="none" w:sz="0" w:space="0" w:color="auto"/>
      </w:divBdr>
      <w:divsChild>
        <w:div w:id="729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CB7D85B676BD5F13BAAB34A929D8193ABD5F8E13D94A3F502BA3C4D9F010D8B272C79A5n8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3368</Words>
  <Characters>19201</Characters>
  <Application>Microsoft Office Word</Application>
  <DocSecurity>0</DocSecurity>
  <Lines>160</Lines>
  <Paragraphs>45</Paragraphs>
  <ScaleCrop>false</ScaleCrop>
  <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tcherchago</cp:lastModifiedBy>
  <cp:revision>2</cp:revision>
  <dcterms:created xsi:type="dcterms:W3CDTF">2015-04-23T12:32:00Z</dcterms:created>
  <dcterms:modified xsi:type="dcterms:W3CDTF">2015-04-23T12:32:00Z</dcterms:modified>
</cp:coreProperties>
</file>